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680"/>
        </w:tabs>
        <w:wordWrap w:val="0"/>
        <w:rPr>
          <w:rFonts w:ascii="仿宋_GB2312" w:hAnsi="宋体" w:eastAsia="仿宋_GB2312"/>
          <w:sz w:val="32"/>
          <w:szCs w:val="32"/>
        </w:rPr>
      </w:pPr>
      <w:bookmarkStart w:id="0" w:name="_GoBack"/>
      <w:bookmarkEnd w:id="0"/>
      <w:r>
        <w:rPr>
          <w:rFonts w:hint="eastAsia" w:ascii="仿宋_GB2312" w:eastAsia="仿宋_GB2312"/>
          <w:sz w:val="32"/>
          <w:szCs w:val="32"/>
        </w:rPr>
        <w:t>附件</w:t>
      </w:r>
      <w:r>
        <w:rPr>
          <w:rFonts w:hint="eastAsia" w:ascii="仿宋_GB2312" w:hAnsi="宋体" w:eastAsia="仿宋_GB2312"/>
          <w:sz w:val="32"/>
          <w:szCs w:val="32"/>
        </w:rPr>
        <w:t>2</w:t>
      </w:r>
      <w:r>
        <w:rPr>
          <w:rFonts w:hint="eastAsia" w:ascii="仿宋_GB2312" w:eastAsia="仿宋_GB2312"/>
          <w:sz w:val="32"/>
          <w:szCs w:val="32"/>
        </w:rPr>
        <w:t>：</w:t>
      </w:r>
    </w:p>
    <w:p>
      <w:pPr>
        <w:tabs>
          <w:tab w:val="left" w:pos="1680"/>
        </w:tabs>
        <w:wordWrap w:val="0"/>
        <w:spacing w:beforeLines="100" w:afterLines="100" w:line="660" w:lineRule="exact"/>
        <w:jc w:val="center"/>
        <w:rPr>
          <w:rFonts w:ascii="方正小标宋简体" w:hAnsi="宋体" w:eastAsia="方正小标宋简体"/>
          <w:b/>
        </w:rPr>
      </w:pPr>
      <w:r>
        <w:rPr>
          <w:rFonts w:hint="eastAsia" w:ascii="方正小标宋简体" w:hAnsi="宋体" w:eastAsia="方正小标宋简体"/>
          <w:b/>
          <w:sz w:val="44"/>
          <w:szCs w:val="44"/>
        </w:rPr>
        <w:t>2022年度芜湖技师学院招聘编外人员新冠肺炎疫情防控告知暨承诺书</w:t>
      </w:r>
    </w:p>
    <w:p>
      <w:pPr>
        <w:tabs>
          <w:tab w:val="left" w:pos="1680"/>
        </w:tabs>
        <w:wordWrap w:val="0"/>
        <w:spacing w:line="560" w:lineRule="exact"/>
        <w:ind w:firstLine="540"/>
        <w:rPr>
          <w:rFonts w:ascii="仿宋_GB2312" w:hAnsi="Arial" w:eastAsia="仿宋_GB2312"/>
          <w:color w:val="333333"/>
          <w:sz w:val="32"/>
          <w:szCs w:val="32"/>
        </w:rPr>
      </w:pPr>
      <w:r>
        <w:rPr>
          <w:rFonts w:hint="eastAsia" w:ascii="仿宋_GB2312" w:hAnsi="Arial" w:eastAsia="仿宋_GB2312"/>
          <w:color w:val="333333"/>
          <w:sz w:val="32"/>
          <w:szCs w:val="32"/>
        </w:rPr>
        <w:t xml:space="preserve">考生应请提前申领"安康码"和"通信大数据行程卡"，并确保"安康码""行程卡"均为绿色。非绿码人员应通过健康打卡、个人申诉、核酸检测等方式尽快转为绿码。建议无禁忌而尚未接种疫苗的考生尽快完成接种。考试现场实施健康码和新冠疫苗接种记录"二码"联查，同时核查"通信大数据行程卡"。 </w:t>
      </w:r>
    </w:p>
    <w:p>
      <w:pPr>
        <w:tabs>
          <w:tab w:val="left" w:pos="1680"/>
        </w:tabs>
        <w:wordWrap w:val="0"/>
        <w:spacing w:line="560" w:lineRule="exact"/>
        <w:ind w:firstLine="540"/>
        <w:rPr>
          <w:rFonts w:ascii="仿宋_GB2312" w:hAnsi="Arial" w:eastAsia="仿宋_GB2312"/>
          <w:color w:val="333333"/>
          <w:sz w:val="32"/>
          <w:szCs w:val="32"/>
        </w:rPr>
      </w:pPr>
      <w:r>
        <w:rPr>
          <w:rFonts w:hint="eastAsia" w:ascii="仿宋_GB2312" w:hAnsi="宋体" w:eastAsia="仿宋_GB2312"/>
          <w:color w:val="333333"/>
          <w:sz w:val="32"/>
          <w:szCs w:val="32"/>
        </w:rPr>
        <w:t>报考期间，</w:t>
      </w:r>
      <w:r>
        <w:rPr>
          <w:rFonts w:hint="eastAsia" w:ascii="仿宋_GB2312" w:hAnsi="Arial" w:eastAsia="仿宋_GB2312"/>
          <w:color w:val="333333"/>
          <w:sz w:val="32"/>
          <w:szCs w:val="32"/>
        </w:rPr>
        <w:t>考生进入</w:t>
      </w:r>
      <w:r>
        <w:rPr>
          <w:rFonts w:hint="eastAsia" w:ascii="仿宋_GB2312" w:hAnsi="宋体" w:eastAsia="仿宋_GB2312"/>
          <w:color w:val="333333"/>
          <w:sz w:val="32"/>
          <w:szCs w:val="32"/>
        </w:rPr>
        <w:t>我院</w:t>
      </w:r>
      <w:r>
        <w:rPr>
          <w:rFonts w:hint="eastAsia" w:ascii="仿宋_GB2312" w:hAnsi="Arial" w:eastAsia="仿宋_GB2312"/>
          <w:color w:val="333333"/>
          <w:sz w:val="32"/>
          <w:szCs w:val="32"/>
        </w:rPr>
        <w:t>时须出示48小时内核酸检测阴性证明，并经现场测量体温正常，方可进入</w:t>
      </w:r>
      <w:r>
        <w:rPr>
          <w:rFonts w:hint="eastAsia" w:ascii="仿宋_GB2312" w:hAnsi="宋体" w:eastAsia="仿宋_GB2312"/>
          <w:color w:val="333333"/>
          <w:sz w:val="32"/>
          <w:szCs w:val="32"/>
        </w:rPr>
        <w:t>我院</w:t>
      </w:r>
      <w:r>
        <w:rPr>
          <w:rFonts w:hint="eastAsia" w:ascii="仿宋_GB2312" w:hAnsi="Arial" w:eastAsia="仿宋_GB2312"/>
          <w:color w:val="333333"/>
          <w:sz w:val="32"/>
          <w:szCs w:val="32"/>
        </w:rPr>
        <w:t xml:space="preserve">。 </w:t>
      </w:r>
    </w:p>
    <w:p>
      <w:pPr>
        <w:tabs>
          <w:tab w:val="left" w:pos="1680"/>
        </w:tabs>
        <w:wordWrap w:val="0"/>
        <w:spacing w:line="560" w:lineRule="exact"/>
        <w:ind w:firstLine="540"/>
        <w:rPr>
          <w:rFonts w:ascii="仿宋_GB2312" w:hAnsi="Arial" w:eastAsia="仿宋_GB2312"/>
          <w:color w:val="333333"/>
          <w:sz w:val="32"/>
          <w:szCs w:val="32"/>
        </w:rPr>
      </w:pPr>
      <w:r>
        <w:rPr>
          <w:rFonts w:hint="eastAsia" w:ascii="仿宋_GB2312" w:hAnsi="Arial" w:eastAsia="仿宋_GB2312"/>
          <w:color w:val="333333"/>
          <w:sz w:val="32"/>
          <w:szCs w:val="32"/>
        </w:rPr>
        <w:t>考生应提前自备一次性医用口罩，</w:t>
      </w:r>
      <w:r>
        <w:rPr>
          <w:rFonts w:hint="eastAsia" w:ascii="仿宋_GB2312" w:hAnsi="宋体" w:eastAsia="仿宋_GB2312"/>
          <w:color w:val="333333"/>
          <w:sz w:val="32"/>
          <w:szCs w:val="32"/>
        </w:rPr>
        <w:t>进入我院</w:t>
      </w:r>
      <w:r>
        <w:rPr>
          <w:rFonts w:hint="eastAsia" w:ascii="仿宋_GB2312" w:hAnsi="Arial" w:eastAsia="仿宋_GB2312"/>
          <w:color w:val="333333"/>
          <w:sz w:val="32"/>
          <w:szCs w:val="32"/>
        </w:rPr>
        <w:t xml:space="preserve">期间全程佩戴（除核验身份外）。考试当天考生应至少提前60分钟抵达考点，进入考场前务必要严格使用酒精消毒用品进行手部消毒，始终保持1米以上安全距离。 </w:t>
      </w:r>
    </w:p>
    <w:p>
      <w:pPr>
        <w:tabs>
          <w:tab w:val="left" w:pos="1680"/>
        </w:tabs>
        <w:wordWrap w:val="0"/>
        <w:spacing w:line="560" w:lineRule="exact"/>
        <w:ind w:firstLine="540"/>
        <w:rPr>
          <w:rFonts w:ascii="仿宋_GB2312" w:hAnsi="Arial" w:eastAsia="仿宋_GB2312"/>
          <w:color w:val="333333"/>
          <w:sz w:val="32"/>
          <w:szCs w:val="32"/>
        </w:rPr>
      </w:pPr>
      <w:r>
        <w:rPr>
          <w:rFonts w:hint="eastAsia" w:ascii="仿宋_GB2312" w:hAnsi="Arial" w:eastAsia="仿宋_GB2312"/>
          <w:color w:val="333333"/>
          <w:sz w:val="32"/>
          <w:szCs w:val="32"/>
        </w:rPr>
        <w:t>近30日内有新冠肺炎确诊病例、疑似病例、无症状感染者接触史的考生，需主动出示解除隔离证明原件，经核验后方可</w:t>
      </w:r>
      <w:r>
        <w:rPr>
          <w:rFonts w:hint="eastAsia" w:ascii="仿宋_GB2312" w:hAnsi="宋体" w:eastAsia="仿宋_GB2312"/>
          <w:color w:val="333333"/>
          <w:sz w:val="32"/>
          <w:szCs w:val="32"/>
        </w:rPr>
        <w:t>进入我院进行现场资格复审及</w:t>
      </w:r>
      <w:r>
        <w:rPr>
          <w:rFonts w:hint="eastAsia" w:ascii="仿宋_GB2312" w:hAnsi="Arial" w:eastAsia="仿宋_GB2312"/>
          <w:color w:val="333333"/>
          <w:sz w:val="32"/>
          <w:szCs w:val="32"/>
        </w:rPr>
        <w:t>参加</w:t>
      </w:r>
      <w:r>
        <w:rPr>
          <w:rFonts w:hint="eastAsia" w:ascii="仿宋_GB2312" w:hAnsi="宋体" w:eastAsia="仿宋_GB2312"/>
          <w:color w:val="333333"/>
          <w:sz w:val="32"/>
          <w:szCs w:val="32"/>
        </w:rPr>
        <w:t>后续</w:t>
      </w:r>
      <w:r>
        <w:rPr>
          <w:rFonts w:hint="eastAsia" w:ascii="仿宋_GB2312" w:hAnsi="Arial" w:eastAsia="仿宋_GB2312"/>
          <w:color w:val="333333"/>
          <w:sz w:val="32"/>
          <w:szCs w:val="32"/>
        </w:rPr>
        <w:t>考试，否则不得进入</w:t>
      </w:r>
      <w:r>
        <w:rPr>
          <w:rFonts w:hint="eastAsia" w:ascii="仿宋_GB2312" w:hAnsi="宋体" w:eastAsia="仿宋_GB2312"/>
          <w:color w:val="333333"/>
          <w:sz w:val="32"/>
          <w:szCs w:val="32"/>
        </w:rPr>
        <w:t>我院</w:t>
      </w:r>
      <w:r>
        <w:rPr>
          <w:rFonts w:hint="eastAsia" w:ascii="仿宋_GB2312" w:hAnsi="Arial" w:eastAsia="仿宋_GB2312"/>
          <w:color w:val="333333"/>
          <w:sz w:val="32"/>
          <w:szCs w:val="32"/>
        </w:rPr>
        <w:t xml:space="preserve">。  </w:t>
      </w:r>
    </w:p>
    <w:p>
      <w:pPr>
        <w:tabs>
          <w:tab w:val="left" w:pos="1680"/>
        </w:tabs>
        <w:wordWrap w:val="0"/>
        <w:spacing w:line="560" w:lineRule="exact"/>
        <w:ind w:firstLine="540"/>
        <w:rPr>
          <w:rFonts w:ascii="仿宋_GB2312" w:hAnsi="Arial" w:eastAsia="仿宋_GB2312"/>
          <w:color w:val="333333"/>
          <w:sz w:val="32"/>
          <w:szCs w:val="32"/>
        </w:rPr>
      </w:pPr>
      <w:r>
        <w:rPr>
          <w:rFonts w:hint="eastAsia" w:ascii="仿宋_GB2312" w:hAnsi="Arial" w:eastAsia="仿宋_GB2312"/>
          <w:color w:val="333333"/>
          <w:sz w:val="32"/>
          <w:szCs w:val="32"/>
        </w:rPr>
        <w:t>有以下情形之一的考生，不得进入</w:t>
      </w:r>
      <w:r>
        <w:rPr>
          <w:rFonts w:hint="eastAsia" w:ascii="仿宋_GB2312" w:hAnsi="宋体" w:eastAsia="仿宋_GB2312"/>
          <w:color w:val="333333"/>
          <w:sz w:val="32"/>
          <w:szCs w:val="32"/>
        </w:rPr>
        <w:t>我院进行现场资格复审及</w:t>
      </w:r>
      <w:r>
        <w:rPr>
          <w:rFonts w:hint="eastAsia" w:ascii="仿宋_GB2312" w:hAnsi="Arial" w:eastAsia="仿宋_GB2312"/>
          <w:color w:val="333333"/>
          <w:sz w:val="32"/>
          <w:szCs w:val="32"/>
        </w:rPr>
        <w:t>参加</w:t>
      </w:r>
      <w:r>
        <w:rPr>
          <w:rFonts w:hint="eastAsia" w:ascii="仿宋_GB2312" w:hAnsi="宋体" w:eastAsia="仿宋_GB2312"/>
          <w:color w:val="333333"/>
          <w:sz w:val="32"/>
          <w:szCs w:val="32"/>
        </w:rPr>
        <w:t>后续</w:t>
      </w:r>
      <w:r>
        <w:rPr>
          <w:rFonts w:hint="eastAsia" w:ascii="仿宋_GB2312" w:hAnsi="Arial" w:eastAsia="仿宋_GB2312"/>
          <w:color w:val="333333"/>
          <w:sz w:val="32"/>
          <w:szCs w:val="32"/>
        </w:rPr>
        <w:t xml:space="preserve">考试：确诊病例、疑似病例、无症状感染者和尚在隔离观察期的密切接触者及密接者的密接者；考前14天内有境内中高风险地区所在县（市、区、旗）旅居史的；考前28天有港台、国外旅居史且未落实14+7+7天隔离和健康管理措施的。  </w:t>
      </w:r>
    </w:p>
    <w:p>
      <w:pPr>
        <w:tabs>
          <w:tab w:val="left" w:pos="1680"/>
        </w:tabs>
        <w:wordWrap w:val="0"/>
        <w:spacing w:line="560" w:lineRule="exact"/>
        <w:ind w:firstLine="540"/>
        <w:rPr>
          <w:rFonts w:ascii="仿宋_GB2312" w:hAnsi="Arial" w:eastAsia="仿宋_GB2312"/>
          <w:color w:val="333333"/>
          <w:sz w:val="32"/>
          <w:szCs w:val="32"/>
        </w:rPr>
      </w:pPr>
      <w:r>
        <w:rPr>
          <w:rFonts w:hint="eastAsia" w:ascii="仿宋_GB2312" w:hAnsi="Arial" w:eastAsia="仿宋_GB2312"/>
          <w:color w:val="333333"/>
          <w:sz w:val="32"/>
          <w:szCs w:val="32"/>
        </w:rPr>
        <w:t xml:space="preserve">考前如出现发热、乏力、咳嗽、呼吸困难、腹泻等症状请如实报告所在地疾控部门并及时前往定点医院就诊。考试期间有身体不适症状的人员要立即向工作人员报告并服从工作人员的管理。考试期间出现身体不适症状，需接受健康评估、转移考试或就医的，考试时间不予补充。 </w:t>
      </w:r>
    </w:p>
    <w:p>
      <w:pPr>
        <w:tabs>
          <w:tab w:val="left" w:pos="1680"/>
        </w:tabs>
        <w:wordWrap w:val="0"/>
        <w:spacing w:line="560" w:lineRule="exact"/>
        <w:ind w:firstLine="675"/>
        <w:rPr>
          <w:rFonts w:ascii="仿宋_GB2312" w:hAnsi="Arial" w:eastAsia="仿宋_GB2312"/>
          <w:color w:val="333333"/>
          <w:sz w:val="32"/>
          <w:szCs w:val="32"/>
        </w:rPr>
      </w:pPr>
      <w:r>
        <w:rPr>
          <w:rFonts w:hint="eastAsia" w:ascii="仿宋_GB2312" w:hAnsi="Arial" w:eastAsia="仿宋_GB2312"/>
          <w:color w:val="333333"/>
          <w:sz w:val="32"/>
          <w:szCs w:val="32"/>
        </w:rPr>
        <w:t>如考试前出现新的疫情变化，将通过芜湖技师学院网</w:t>
      </w:r>
      <w:r>
        <w:rPr>
          <w:rFonts w:hint="eastAsia" w:ascii="仿宋_GB2312" w:hAnsi="宋体" w:eastAsia="仿宋_GB2312"/>
          <w:color w:val="333333"/>
          <w:sz w:val="32"/>
          <w:szCs w:val="32"/>
        </w:rPr>
        <w:t>站</w:t>
      </w:r>
      <w:r>
        <w:rPr>
          <w:rFonts w:hint="eastAsia" w:ascii="仿宋_GB2312" w:hAnsi="Arial" w:eastAsia="仿宋_GB2312"/>
          <w:color w:val="333333"/>
          <w:sz w:val="32"/>
          <w:szCs w:val="32"/>
        </w:rPr>
        <w:t xml:space="preserve">（http://www.whjsxy.com）及时发布补充公告，明确疫情防控要求，请广大报考者密切关注。 </w:t>
      </w:r>
    </w:p>
    <w:p>
      <w:pPr>
        <w:tabs>
          <w:tab w:val="left" w:pos="1680"/>
        </w:tabs>
        <w:wordWrap w:val="0"/>
        <w:spacing w:line="560" w:lineRule="exact"/>
        <w:ind w:firstLine="540"/>
        <w:rPr>
          <w:rFonts w:ascii="仿宋_GB2312" w:hAnsi="Arial" w:eastAsia="仿宋_GB2312"/>
          <w:color w:val="333333"/>
          <w:sz w:val="32"/>
          <w:szCs w:val="32"/>
        </w:rPr>
      </w:pPr>
      <w:r>
        <w:rPr>
          <w:rFonts w:hint="eastAsia" w:ascii="仿宋_GB2312" w:hAnsi="Arial" w:eastAsia="仿宋_GB2312"/>
          <w:color w:val="333333"/>
          <w:sz w:val="32"/>
          <w:szCs w:val="32"/>
        </w:rPr>
        <w:t xml:space="preserve">请自觉遵守相关防疫要求和属地人员管控政策。凡隐瞒或谎报旅居史、接触史、健康状况等疫情防控重点信息，不配合工作人员进行防疫检测、询问等造成不良后果的，终止其考试并依法追究法律责任。  </w:t>
      </w:r>
    </w:p>
    <w:p>
      <w:pPr>
        <w:tabs>
          <w:tab w:val="left" w:pos="1680"/>
        </w:tabs>
        <w:wordWrap w:val="0"/>
        <w:spacing w:line="560" w:lineRule="exact"/>
        <w:ind w:firstLine="540"/>
        <w:rPr>
          <w:rFonts w:ascii="仿宋_GB2312" w:hAnsi="Arial" w:eastAsia="仿宋_GB2312"/>
          <w:color w:val="333333"/>
          <w:sz w:val="32"/>
          <w:szCs w:val="32"/>
        </w:rPr>
      </w:pPr>
      <w:r>
        <w:rPr>
          <w:rFonts w:hint="eastAsia" w:ascii="仿宋_GB2312" w:hAnsi="Arial" w:eastAsia="仿宋_GB2312"/>
          <w:color w:val="333333"/>
          <w:sz w:val="32"/>
          <w:szCs w:val="32"/>
        </w:rPr>
        <w:t>报考者领取准考证前应仔细阅读《2022年度芜湖技师学院招聘编外人员期间新冠肺炎疫情防控告知暨承诺书》，下载打印并如实填写</w:t>
      </w:r>
      <w:r>
        <w:rPr>
          <w:rFonts w:ascii="仿宋_GB2312" w:hAnsi="Arial" w:eastAsia="仿宋_GB2312"/>
          <w:color w:val="333333"/>
          <w:sz w:val="32"/>
          <w:szCs w:val="32"/>
        </w:rPr>
        <w:t>《芜湖技师学院进校人员进校前14天健康登记表》即视为认同并签署本承诺书。</w:t>
      </w:r>
    </w:p>
    <w:tbl>
      <w:tblPr>
        <w:tblStyle w:val="2"/>
        <w:tblW w:w="8662" w:type="dxa"/>
        <w:tblInd w:w="93" w:type="dxa"/>
        <w:tblLayout w:type="fixed"/>
        <w:tblCellMar>
          <w:top w:w="0" w:type="dxa"/>
          <w:left w:w="108" w:type="dxa"/>
          <w:bottom w:w="0" w:type="dxa"/>
          <w:right w:w="108" w:type="dxa"/>
        </w:tblCellMar>
      </w:tblPr>
      <w:tblGrid>
        <w:gridCol w:w="874"/>
        <w:gridCol w:w="1520"/>
        <w:gridCol w:w="1205"/>
        <w:gridCol w:w="1619"/>
        <w:gridCol w:w="1318"/>
        <w:gridCol w:w="2126"/>
      </w:tblGrid>
      <w:tr>
        <w:trPr>
          <w:trHeight w:val="769" w:hRule="atLeast"/>
        </w:trPr>
        <w:tc>
          <w:tcPr>
            <w:tcW w:w="8662" w:type="dxa"/>
            <w:gridSpan w:val="6"/>
            <w:tcBorders>
              <w:top w:val="nil"/>
              <w:left w:val="nil"/>
              <w:bottom w:val="nil"/>
              <w:right w:val="nil"/>
            </w:tcBorders>
            <w:shd w:val="clear" w:color="000000" w:fill="auto"/>
            <w:vAlign w:val="center"/>
          </w:tcPr>
          <w:p>
            <w:pPr>
              <w:wordWrap w:val="0"/>
              <w:jc w:val="center"/>
              <w:rPr>
                <w:rFonts w:ascii="宋体" w:eastAsiaTheme="minorEastAsia"/>
                <w:b/>
                <w:sz w:val="32"/>
                <w:szCs w:val="32"/>
              </w:rPr>
            </w:pPr>
          </w:p>
          <w:p>
            <w:pPr>
              <w:wordWrap w:val="0"/>
              <w:jc w:val="center"/>
              <w:rPr>
                <w:rFonts w:ascii="宋体" w:eastAsiaTheme="minorEastAsia"/>
                <w:b/>
                <w:sz w:val="32"/>
                <w:szCs w:val="32"/>
              </w:rPr>
            </w:pPr>
          </w:p>
          <w:p>
            <w:pPr>
              <w:wordWrap w:val="0"/>
              <w:jc w:val="center"/>
              <w:rPr>
                <w:rFonts w:ascii="宋体" w:eastAsiaTheme="minorEastAsia"/>
                <w:b/>
                <w:sz w:val="32"/>
                <w:szCs w:val="32"/>
              </w:rPr>
            </w:pPr>
          </w:p>
          <w:p>
            <w:pPr>
              <w:wordWrap w:val="0"/>
              <w:jc w:val="both"/>
              <w:rPr>
                <w:rFonts w:ascii="宋体" w:eastAsiaTheme="minorEastAsia"/>
                <w:b/>
                <w:sz w:val="32"/>
                <w:szCs w:val="32"/>
              </w:rPr>
            </w:pPr>
          </w:p>
          <w:p>
            <w:pPr>
              <w:wordWrap w:val="0"/>
              <w:jc w:val="center"/>
              <w:rPr>
                <w:rFonts w:ascii="宋体" w:eastAsiaTheme="minorEastAsia"/>
                <w:b/>
                <w:sz w:val="32"/>
                <w:szCs w:val="32"/>
              </w:rPr>
            </w:pPr>
          </w:p>
          <w:p>
            <w:pPr>
              <w:wordWrap w:val="0"/>
              <w:jc w:val="center"/>
              <w:rPr>
                <w:rFonts w:ascii="宋体" w:eastAsiaTheme="minorEastAsia"/>
                <w:b/>
                <w:sz w:val="32"/>
                <w:szCs w:val="32"/>
              </w:rPr>
            </w:pPr>
          </w:p>
          <w:p>
            <w:pPr>
              <w:wordWrap w:val="0"/>
              <w:jc w:val="center"/>
              <w:rPr>
                <w:rFonts w:ascii="宋体" w:hAnsi="宋体" w:eastAsia="宋体"/>
                <w:b/>
                <w:sz w:val="32"/>
                <w:szCs w:val="32"/>
              </w:rPr>
            </w:pPr>
            <w:r>
              <w:rPr>
                <w:rFonts w:ascii="宋体" w:eastAsia="Tahoma"/>
                <w:b/>
                <w:sz w:val="32"/>
                <w:szCs w:val="32"/>
              </w:rPr>
              <w:t>芜湖技师学院</w:t>
            </w:r>
            <w:r>
              <w:rPr>
                <w:rFonts w:ascii="宋体" w:hAnsi="宋体" w:eastAsia="宋体"/>
                <w:b/>
                <w:sz w:val="32"/>
                <w:szCs w:val="32"/>
              </w:rPr>
              <w:t>进</w:t>
            </w:r>
            <w:r>
              <w:rPr>
                <w:rFonts w:ascii="宋体" w:eastAsia="Tahoma"/>
                <w:b/>
                <w:sz w:val="32"/>
                <w:szCs w:val="32"/>
              </w:rPr>
              <w:t>校人员</w:t>
            </w:r>
            <w:r>
              <w:rPr>
                <w:rFonts w:ascii="宋体" w:hAnsi="宋体" w:eastAsia="宋体"/>
                <w:b/>
                <w:sz w:val="32"/>
                <w:szCs w:val="32"/>
              </w:rPr>
              <w:t>进</w:t>
            </w:r>
            <w:r>
              <w:rPr>
                <w:rFonts w:ascii="宋体" w:eastAsia="Tahoma"/>
                <w:b/>
                <w:sz w:val="32"/>
                <w:szCs w:val="32"/>
              </w:rPr>
              <w:t>校前14天健康登记表</w:t>
            </w:r>
          </w:p>
        </w:tc>
      </w:tr>
      <w:tr>
        <w:tblPrEx>
          <w:tblCellMar>
            <w:top w:w="0" w:type="dxa"/>
            <w:left w:w="108" w:type="dxa"/>
            <w:bottom w:w="0" w:type="dxa"/>
            <w:right w:w="108" w:type="dxa"/>
          </w:tblCellMar>
        </w:tblPrEx>
        <w:trPr>
          <w:trHeight w:val="420" w:hRule="atLeast"/>
        </w:trPr>
        <w:tc>
          <w:tcPr>
            <w:tcW w:w="2394" w:type="dxa"/>
            <w:gridSpan w:val="2"/>
            <w:tcBorders>
              <w:top w:val="nil"/>
              <w:left w:val="nil"/>
              <w:bottom w:val="nil"/>
              <w:right w:val="nil"/>
            </w:tcBorders>
            <w:shd w:val="clear" w:color="000000" w:fill="auto"/>
            <w:vAlign w:val="center"/>
          </w:tcPr>
          <w:p>
            <w:pPr>
              <w:wordWrap w:val="0"/>
              <w:rPr>
                <w:rFonts w:ascii="宋体" w:hAnsi="宋体" w:eastAsia="宋体"/>
                <w:sz w:val="24"/>
                <w:szCs w:val="24"/>
              </w:rPr>
            </w:pPr>
            <w:r>
              <w:rPr>
                <w:rFonts w:ascii="宋体" w:eastAsia="Tahoma"/>
                <w:sz w:val="24"/>
                <w:szCs w:val="24"/>
              </w:rPr>
              <w:t>部门：</w:t>
            </w:r>
          </w:p>
        </w:tc>
        <w:tc>
          <w:tcPr>
            <w:tcW w:w="1205" w:type="dxa"/>
            <w:tcBorders>
              <w:top w:val="nil"/>
              <w:left w:val="nil"/>
              <w:bottom w:val="nil"/>
              <w:right w:val="nil"/>
            </w:tcBorders>
            <w:shd w:val="clear" w:color="000000" w:fill="auto"/>
            <w:vAlign w:val="center"/>
          </w:tcPr>
          <w:p>
            <w:pPr>
              <w:wordWrap w:val="0"/>
              <w:rPr>
                <w:rFonts w:ascii="宋体" w:hAnsi="宋体" w:eastAsia="宋体"/>
                <w:sz w:val="24"/>
                <w:szCs w:val="24"/>
              </w:rPr>
            </w:pPr>
          </w:p>
        </w:tc>
        <w:tc>
          <w:tcPr>
            <w:tcW w:w="1619" w:type="dxa"/>
            <w:tcBorders>
              <w:top w:val="nil"/>
              <w:left w:val="nil"/>
              <w:bottom w:val="nil"/>
              <w:right w:val="nil"/>
            </w:tcBorders>
            <w:shd w:val="clear" w:color="000000" w:fill="auto"/>
            <w:vAlign w:val="center"/>
          </w:tcPr>
          <w:p>
            <w:pPr>
              <w:wordWrap w:val="0"/>
              <w:rPr>
                <w:rFonts w:ascii="宋体" w:hAnsi="宋体" w:eastAsia="宋体"/>
                <w:sz w:val="24"/>
                <w:szCs w:val="24"/>
              </w:rPr>
            </w:pPr>
          </w:p>
        </w:tc>
        <w:tc>
          <w:tcPr>
            <w:tcW w:w="1318" w:type="dxa"/>
            <w:tcBorders>
              <w:top w:val="nil"/>
              <w:left w:val="nil"/>
              <w:bottom w:val="nil"/>
              <w:right w:val="nil"/>
            </w:tcBorders>
            <w:shd w:val="clear" w:color="000000" w:fill="auto"/>
            <w:vAlign w:val="center"/>
          </w:tcPr>
          <w:p>
            <w:pPr>
              <w:wordWrap w:val="0"/>
              <w:rPr>
                <w:rFonts w:ascii="宋体" w:hAnsi="宋体" w:eastAsia="宋体"/>
                <w:sz w:val="24"/>
                <w:szCs w:val="24"/>
              </w:rPr>
            </w:pPr>
          </w:p>
        </w:tc>
        <w:tc>
          <w:tcPr>
            <w:tcW w:w="2126" w:type="dxa"/>
            <w:tcBorders>
              <w:top w:val="nil"/>
              <w:left w:val="nil"/>
              <w:bottom w:val="nil"/>
              <w:right w:val="nil"/>
            </w:tcBorders>
            <w:shd w:val="clear" w:color="000000" w:fill="auto"/>
            <w:vAlign w:val="center"/>
          </w:tcPr>
          <w:p>
            <w:pPr>
              <w:wordWrap w:val="0"/>
              <w:rPr>
                <w:rFonts w:ascii="宋体" w:hAnsi="宋体" w:eastAsia="宋体"/>
                <w:sz w:val="24"/>
                <w:szCs w:val="24"/>
              </w:rPr>
            </w:pPr>
          </w:p>
        </w:tc>
      </w:tr>
      <w:tr>
        <w:tblPrEx>
          <w:tblCellMar>
            <w:top w:w="0" w:type="dxa"/>
            <w:left w:w="108" w:type="dxa"/>
            <w:bottom w:w="0" w:type="dxa"/>
            <w:right w:w="108" w:type="dxa"/>
          </w:tblCellMar>
        </w:tblPrEx>
        <w:trPr>
          <w:trHeight w:val="787" w:hRule="atLeast"/>
        </w:trPr>
        <w:tc>
          <w:tcPr>
            <w:tcW w:w="874" w:type="dxa"/>
            <w:vMerge w:val="restart"/>
            <w:tcBorders>
              <w:top w:val="single" w:color="auto" w:sz="4" w:space="0"/>
              <w:left w:val="single" w:color="auto" w:sz="4" w:space="0"/>
              <w:bottom w:val="single" w:color="auto" w:sz="4" w:space="0"/>
              <w:right w:val="single" w:color="auto" w:sz="4" w:space="0"/>
            </w:tcBorders>
            <w:shd w:val="clear" w:color="000000" w:fill="auto"/>
            <w:textDirection w:val="tbRlV"/>
            <w:vAlign w:val="center"/>
          </w:tcPr>
          <w:p>
            <w:pPr>
              <w:wordWrap w:val="0"/>
              <w:jc w:val="center"/>
              <w:rPr>
                <w:rFonts w:ascii="宋体" w:hAnsi="宋体" w:eastAsia="宋体"/>
                <w:sz w:val="24"/>
                <w:szCs w:val="24"/>
              </w:rPr>
            </w:pPr>
            <w:r>
              <w:rPr>
                <w:rFonts w:ascii="宋体" w:eastAsia="Tahoma"/>
                <w:sz w:val="24"/>
                <w:szCs w:val="24"/>
              </w:rPr>
              <w:t>基本信息</w:t>
            </w:r>
          </w:p>
        </w:tc>
        <w:tc>
          <w:tcPr>
            <w:tcW w:w="1520" w:type="dxa"/>
            <w:tcBorders>
              <w:top w:val="single" w:color="auto" w:sz="4" w:space="0"/>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姓名</w:t>
            </w:r>
          </w:p>
        </w:tc>
        <w:tc>
          <w:tcPr>
            <w:tcW w:w="1205" w:type="dxa"/>
            <w:tcBorders>
              <w:top w:val="single" w:color="auto" w:sz="4" w:space="0"/>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性别</w:t>
            </w:r>
          </w:p>
        </w:tc>
        <w:tc>
          <w:tcPr>
            <w:tcW w:w="2937" w:type="dxa"/>
            <w:gridSpan w:val="2"/>
            <w:tcBorders>
              <w:top w:val="single" w:color="auto" w:sz="4" w:space="0"/>
              <w:left w:val="nil"/>
              <w:bottom w:val="single" w:color="auto" w:sz="4" w:space="0"/>
              <w:right w:val="single" w:color="000000"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身份证号码</w:t>
            </w:r>
          </w:p>
        </w:tc>
        <w:tc>
          <w:tcPr>
            <w:tcW w:w="2126" w:type="dxa"/>
            <w:tcBorders>
              <w:top w:val="single" w:color="auto" w:sz="4" w:space="0"/>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期间家庭成员是否被隔离医学观察/是否确诊/是否疑似</w:t>
            </w:r>
          </w:p>
        </w:tc>
      </w:tr>
      <w:tr>
        <w:tblPrEx>
          <w:tblCellMar>
            <w:top w:w="0" w:type="dxa"/>
            <w:left w:w="108" w:type="dxa"/>
            <w:bottom w:w="0" w:type="dxa"/>
            <w:right w:w="108" w:type="dxa"/>
          </w:tblCellMar>
        </w:tblPrEx>
        <w:trPr>
          <w:trHeight w:val="417" w:hRule="atLeast"/>
        </w:trPr>
        <w:tc>
          <w:tcPr>
            <w:tcW w:w="874"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1520"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1205"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2937" w:type="dxa"/>
            <w:gridSpan w:val="2"/>
            <w:tcBorders>
              <w:top w:val="single" w:color="auto" w:sz="4" w:space="0"/>
              <w:left w:val="nil"/>
              <w:bottom w:val="single" w:color="auto" w:sz="4" w:space="0"/>
              <w:right w:val="single" w:color="000000"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2126"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r>
      <w:tr>
        <w:tblPrEx>
          <w:tblCellMar>
            <w:top w:w="0" w:type="dxa"/>
            <w:left w:w="108" w:type="dxa"/>
            <w:bottom w:w="0" w:type="dxa"/>
            <w:right w:w="108" w:type="dxa"/>
          </w:tblCellMar>
        </w:tblPrEx>
        <w:trPr>
          <w:trHeight w:val="949" w:hRule="atLeast"/>
        </w:trPr>
        <w:tc>
          <w:tcPr>
            <w:tcW w:w="874"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1520"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联系方式</w:t>
            </w:r>
          </w:p>
        </w:tc>
        <w:tc>
          <w:tcPr>
            <w:tcW w:w="1205"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是否接种疫苗</w:t>
            </w:r>
          </w:p>
        </w:tc>
        <w:tc>
          <w:tcPr>
            <w:tcW w:w="2937" w:type="dxa"/>
            <w:gridSpan w:val="2"/>
            <w:tcBorders>
              <w:top w:val="single" w:color="auto" w:sz="4" w:space="0"/>
              <w:left w:val="nil"/>
              <w:bottom w:val="single" w:color="auto" w:sz="4" w:space="0"/>
              <w:right w:val="single" w:color="000000"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返校前14天居住地址</w:t>
            </w:r>
          </w:p>
        </w:tc>
        <w:tc>
          <w:tcPr>
            <w:tcW w:w="2126"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所在小区（社区、街道、村是否有确诊病例）</w:t>
            </w:r>
          </w:p>
        </w:tc>
      </w:tr>
      <w:tr>
        <w:tblPrEx>
          <w:tblCellMar>
            <w:top w:w="0" w:type="dxa"/>
            <w:left w:w="108" w:type="dxa"/>
            <w:bottom w:w="0" w:type="dxa"/>
            <w:right w:w="108" w:type="dxa"/>
          </w:tblCellMar>
        </w:tblPrEx>
        <w:trPr>
          <w:trHeight w:val="381" w:hRule="atLeast"/>
        </w:trPr>
        <w:tc>
          <w:tcPr>
            <w:tcW w:w="874"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1520"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1205"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2937" w:type="dxa"/>
            <w:gridSpan w:val="2"/>
            <w:tcBorders>
              <w:top w:val="single" w:color="auto" w:sz="4" w:space="0"/>
              <w:left w:val="nil"/>
              <w:bottom w:val="single" w:color="auto" w:sz="4" w:space="0"/>
              <w:right w:val="single" w:color="000000"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2126"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r>
      <w:tr>
        <w:tblPrEx>
          <w:tblCellMar>
            <w:top w:w="0" w:type="dxa"/>
            <w:left w:w="108" w:type="dxa"/>
            <w:bottom w:w="0" w:type="dxa"/>
            <w:right w:w="108" w:type="dxa"/>
          </w:tblCellMar>
        </w:tblPrEx>
        <w:trPr>
          <w:trHeight w:val="1279" w:hRule="atLeast"/>
        </w:trPr>
        <w:tc>
          <w:tcPr>
            <w:tcW w:w="874" w:type="dxa"/>
            <w:vMerge w:val="restart"/>
            <w:tcBorders>
              <w:top w:val="nil"/>
              <w:left w:val="single" w:color="auto" w:sz="4" w:space="0"/>
              <w:bottom w:val="single" w:color="auto" w:sz="4" w:space="0"/>
              <w:right w:val="single" w:color="auto" w:sz="4" w:space="0"/>
            </w:tcBorders>
            <w:shd w:val="clear" w:color="000000" w:fill="auto"/>
            <w:textDirection w:val="tbRlV"/>
            <w:vAlign w:val="center"/>
          </w:tcPr>
          <w:p>
            <w:pPr>
              <w:wordWrap w:val="0"/>
              <w:jc w:val="center"/>
              <w:rPr>
                <w:rFonts w:ascii="宋体" w:hAnsi="宋体" w:eastAsia="宋体"/>
                <w:sz w:val="24"/>
                <w:szCs w:val="24"/>
              </w:rPr>
            </w:pPr>
            <w:r>
              <w:rPr>
                <w:rFonts w:ascii="宋体" w:eastAsia="Tahoma"/>
                <w:sz w:val="24"/>
                <w:szCs w:val="24"/>
              </w:rPr>
              <w:t>每日健康信息</w:t>
            </w:r>
          </w:p>
        </w:tc>
        <w:tc>
          <w:tcPr>
            <w:tcW w:w="1520"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日期</w:t>
            </w:r>
          </w:p>
        </w:tc>
        <w:tc>
          <w:tcPr>
            <w:tcW w:w="1205"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体温情况（填写温度或是否正常）</w:t>
            </w:r>
          </w:p>
        </w:tc>
        <w:tc>
          <w:tcPr>
            <w:tcW w:w="1619"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rPr>
            </w:pPr>
            <w:r>
              <w:rPr>
                <w:rFonts w:ascii="宋体" w:eastAsia="Tahoma"/>
              </w:rPr>
              <w:t>接触对象（是否与确诊病例、疑似病例、中高风险地区人员有密切接触）</w:t>
            </w:r>
          </w:p>
        </w:tc>
        <w:tc>
          <w:tcPr>
            <w:tcW w:w="1318"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外出情况（是否前往/途径中、高风险地区）</w:t>
            </w:r>
          </w:p>
        </w:tc>
        <w:tc>
          <w:tcPr>
            <w:tcW w:w="2126"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是否有发热、咳嗽等症状（如有请填写采取处理措施）</w:t>
            </w:r>
          </w:p>
        </w:tc>
      </w:tr>
      <w:tr>
        <w:tblPrEx>
          <w:tblCellMar>
            <w:top w:w="0" w:type="dxa"/>
            <w:left w:w="108" w:type="dxa"/>
            <w:bottom w:w="0" w:type="dxa"/>
            <w:right w:w="108" w:type="dxa"/>
          </w:tblCellMar>
        </w:tblPrEx>
        <w:trPr>
          <w:trHeight w:val="462" w:hRule="atLeast"/>
        </w:trPr>
        <w:tc>
          <w:tcPr>
            <w:tcW w:w="874" w:type="dxa"/>
            <w:vMerge w:val="continue"/>
            <w:tcBorders>
              <w:top w:val="nil"/>
              <w:left w:val="single" w:color="auto" w:sz="4" w:space="0"/>
              <w:bottom w:val="single" w:color="auto" w:sz="4" w:space="0"/>
              <w:right w:val="single" w:color="auto" w:sz="4" w:space="0"/>
            </w:tcBorders>
            <w:shd w:val="clear" w:color="000000" w:fill="auto"/>
            <w:vAlign w:val="center"/>
          </w:tcPr>
          <w:p/>
        </w:tc>
        <w:tc>
          <w:tcPr>
            <w:tcW w:w="1520"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1205"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1619"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1318"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2126"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r>
      <w:tr>
        <w:tblPrEx>
          <w:tblCellMar>
            <w:top w:w="0" w:type="dxa"/>
            <w:left w:w="108" w:type="dxa"/>
            <w:bottom w:w="0" w:type="dxa"/>
            <w:right w:w="108" w:type="dxa"/>
          </w:tblCellMar>
        </w:tblPrEx>
        <w:trPr>
          <w:trHeight w:val="355" w:hRule="atLeast"/>
        </w:trPr>
        <w:tc>
          <w:tcPr>
            <w:tcW w:w="874" w:type="dxa"/>
            <w:vMerge w:val="continue"/>
            <w:tcBorders>
              <w:top w:val="nil"/>
              <w:left w:val="single" w:color="auto" w:sz="4" w:space="0"/>
              <w:bottom w:val="single" w:color="auto" w:sz="4" w:space="0"/>
              <w:right w:val="single" w:color="auto" w:sz="4" w:space="0"/>
            </w:tcBorders>
            <w:shd w:val="clear" w:color="000000" w:fill="auto"/>
            <w:vAlign w:val="center"/>
          </w:tcPr>
          <w:p/>
        </w:tc>
        <w:tc>
          <w:tcPr>
            <w:tcW w:w="1520"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1205"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1619"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1318"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2126"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r>
      <w:tr>
        <w:tblPrEx>
          <w:tblCellMar>
            <w:top w:w="0" w:type="dxa"/>
            <w:left w:w="108" w:type="dxa"/>
            <w:bottom w:w="0" w:type="dxa"/>
            <w:right w:w="108" w:type="dxa"/>
          </w:tblCellMar>
        </w:tblPrEx>
        <w:trPr>
          <w:trHeight w:val="429" w:hRule="atLeast"/>
        </w:trPr>
        <w:tc>
          <w:tcPr>
            <w:tcW w:w="874" w:type="dxa"/>
            <w:vMerge w:val="continue"/>
            <w:tcBorders>
              <w:top w:val="nil"/>
              <w:left w:val="single" w:color="auto" w:sz="4" w:space="0"/>
              <w:bottom w:val="single" w:color="auto" w:sz="4" w:space="0"/>
              <w:right w:val="single" w:color="auto" w:sz="4" w:space="0"/>
            </w:tcBorders>
            <w:shd w:val="clear" w:color="000000" w:fill="auto"/>
            <w:vAlign w:val="center"/>
          </w:tcPr>
          <w:p/>
        </w:tc>
        <w:tc>
          <w:tcPr>
            <w:tcW w:w="1520"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1205"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1619"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1318"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2126"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r>
      <w:tr>
        <w:tblPrEx>
          <w:tblCellMar>
            <w:top w:w="0" w:type="dxa"/>
            <w:left w:w="108" w:type="dxa"/>
            <w:bottom w:w="0" w:type="dxa"/>
            <w:right w:w="108" w:type="dxa"/>
          </w:tblCellMar>
        </w:tblPrEx>
        <w:trPr>
          <w:trHeight w:val="408" w:hRule="atLeast"/>
        </w:trPr>
        <w:tc>
          <w:tcPr>
            <w:tcW w:w="874" w:type="dxa"/>
            <w:vMerge w:val="continue"/>
            <w:tcBorders>
              <w:top w:val="nil"/>
              <w:left w:val="single" w:color="auto" w:sz="4" w:space="0"/>
              <w:bottom w:val="single" w:color="auto" w:sz="4" w:space="0"/>
              <w:right w:val="single" w:color="auto" w:sz="4" w:space="0"/>
            </w:tcBorders>
            <w:shd w:val="clear" w:color="000000" w:fill="auto"/>
            <w:vAlign w:val="center"/>
          </w:tcPr>
          <w:p/>
        </w:tc>
        <w:tc>
          <w:tcPr>
            <w:tcW w:w="1520"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1205"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1619"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1318"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2126"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r>
      <w:tr>
        <w:tblPrEx>
          <w:tblCellMar>
            <w:top w:w="0" w:type="dxa"/>
            <w:left w:w="108" w:type="dxa"/>
            <w:bottom w:w="0" w:type="dxa"/>
            <w:right w:w="108" w:type="dxa"/>
          </w:tblCellMar>
        </w:tblPrEx>
        <w:trPr>
          <w:trHeight w:val="462" w:hRule="atLeast"/>
        </w:trPr>
        <w:tc>
          <w:tcPr>
            <w:tcW w:w="874" w:type="dxa"/>
            <w:vMerge w:val="continue"/>
            <w:tcBorders>
              <w:top w:val="nil"/>
              <w:left w:val="single" w:color="auto" w:sz="4" w:space="0"/>
              <w:bottom w:val="single" w:color="auto" w:sz="4" w:space="0"/>
              <w:right w:val="single" w:color="auto" w:sz="4" w:space="0"/>
            </w:tcBorders>
            <w:shd w:val="clear" w:color="000000" w:fill="auto"/>
            <w:vAlign w:val="center"/>
          </w:tcPr>
          <w:p/>
        </w:tc>
        <w:tc>
          <w:tcPr>
            <w:tcW w:w="1520"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1205"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1619"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1318"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2126"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r>
      <w:tr>
        <w:tblPrEx>
          <w:tblCellMar>
            <w:top w:w="0" w:type="dxa"/>
            <w:left w:w="108" w:type="dxa"/>
            <w:bottom w:w="0" w:type="dxa"/>
            <w:right w:w="108" w:type="dxa"/>
          </w:tblCellMar>
        </w:tblPrEx>
        <w:trPr>
          <w:trHeight w:val="462" w:hRule="atLeast"/>
        </w:trPr>
        <w:tc>
          <w:tcPr>
            <w:tcW w:w="874" w:type="dxa"/>
            <w:vMerge w:val="continue"/>
            <w:tcBorders>
              <w:top w:val="nil"/>
              <w:left w:val="single" w:color="auto" w:sz="4" w:space="0"/>
              <w:bottom w:val="single" w:color="auto" w:sz="4" w:space="0"/>
              <w:right w:val="single" w:color="auto" w:sz="4" w:space="0"/>
            </w:tcBorders>
            <w:shd w:val="clear" w:color="000000" w:fill="auto"/>
            <w:vAlign w:val="center"/>
          </w:tcPr>
          <w:p/>
        </w:tc>
        <w:tc>
          <w:tcPr>
            <w:tcW w:w="1520"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1205"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1619"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1318"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2126"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r>
      <w:tr>
        <w:tblPrEx>
          <w:tblCellMar>
            <w:top w:w="0" w:type="dxa"/>
            <w:left w:w="108" w:type="dxa"/>
            <w:bottom w:w="0" w:type="dxa"/>
            <w:right w:w="108" w:type="dxa"/>
          </w:tblCellMar>
        </w:tblPrEx>
        <w:trPr>
          <w:trHeight w:val="407" w:hRule="atLeast"/>
        </w:trPr>
        <w:tc>
          <w:tcPr>
            <w:tcW w:w="874" w:type="dxa"/>
            <w:vMerge w:val="continue"/>
            <w:tcBorders>
              <w:top w:val="nil"/>
              <w:left w:val="single" w:color="auto" w:sz="4" w:space="0"/>
              <w:bottom w:val="single" w:color="auto" w:sz="4" w:space="0"/>
              <w:right w:val="single" w:color="auto" w:sz="4" w:space="0"/>
            </w:tcBorders>
            <w:shd w:val="clear" w:color="000000" w:fill="auto"/>
            <w:vAlign w:val="center"/>
          </w:tcPr>
          <w:p/>
        </w:tc>
        <w:tc>
          <w:tcPr>
            <w:tcW w:w="1520"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1205"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1619"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1318"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2126"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r>
      <w:tr>
        <w:tblPrEx>
          <w:tblCellMar>
            <w:top w:w="0" w:type="dxa"/>
            <w:left w:w="108" w:type="dxa"/>
            <w:bottom w:w="0" w:type="dxa"/>
            <w:right w:w="108" w:type="dxa"/>
          </w:tblCellMar>
        </w:tblPrEx>
        <w:trPr>
          <w:trHeight w:val="412" w:hRule="atLeast"/>
        </w:trPr>
        <w:tc>
          <w:tcPr>
            <w:tcW w:w="874" w:type="dxa"/>
            <w:vMerge w:val="continue"/>
            <w:tcBorders>
              <w:top w:val="nil"/>
              <w:left w:val="single" w:color="auto" w:sz="4" w:space="0"/>
              <w:bottom w:val="single" w:color="auto" w:sz="4" w:space="0"/>
              <w:right w:val="single" w:color="auto" w:sz="4" w:space="0"/>
            </w:tcBorders>
            <w:shd w:val="clear" w:color="000000" w:fill="auto"/>
            <w:vAlign w:val="center"/>
          </w:tcPr>
          <w:p/>
        </w:tc>
        <w:tc>
          <w:tcPr>
            <w:tcW w:w="1520"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1205"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1619"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1318"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2126"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r>
      <w:tr>
        <w:tblPrEx>
          <w:tblCellMar>
            <w:top w:w="0" w:type="dxa"/>
            <w:left w:w="108" w:type="dxa"/>
            <w:bottom w:w="0" w:type="dxa"/>
            <w:right w:w="108" w:type="dxa"/>
          </w:tblCellMar>
        </w:tblPrEx>
        <w:trPr>
          <w:trHeight w:val="462" w:hRule="atLeast"/>
        </w:trPr>
        <w:tc>
          <w:tcPr>
            <w:tcW w:w="874" w:type="dxa"/>
            <w:vMerge w:val="continue"/>
            <w:tcBorders>
              <w:top w:val="nil"/>
              <w:left w:val="single" w:color="auto" w:sz="4" w:space="0"/>
              <w:bottom w:val="single" w:color="auto" w:sz="4" w:space="0"/>
              <w:right w:val="single" w:color="auto" w:sz="4" w:space="0"/>
            </w:tcBorders>
            <w:shd w:val="clear" w:color="000000" w:fill="auto"/>
            <w:vAlign w:val="center"/>
          </w:tcPr>
          <w:p/>
        </w:tc>
        <w:tc>
          <w:tcPr>
            <w:tcW w:w="1520"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1205"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1619"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1318"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2126"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r>
      <w:tr>
        <w:tblPrEx>
          <w:tblCellMar>
            <w:top w:w="0" w:type="dxa"/>
            <w:left w:w="108" w:type="dxa"/>
            <w:bottom w:w="0" w:type="dxa"/>
            <w:right w:w="108" w:type="dxa"/>
          </w:tblCellMar>
        </w:tblPrEx>
        <w:trPr>
          <w:trHeight w:val="462" w:hRule="atLeast"/>
        </w:trPr>
        <w:tc>
          <w:tcPr>
            <w:tcW w:w="874" w:type="dxa"/>
            <w:vMerge w:val="continue"/>
            <w:tcBorders>
              <w:top w:val="nil"/>
              <w:left w:val="single" w:color="auto" w:sz="4" w:space="0"/>
              <w:bottom w:val="single" w:color="auto" w:sz="4" w:space="0"/>
              <w:right w:val="single" w:color="auto" w:sz="4" w:space="0"/>
            </w:tcBorders>
            <w:shd w:val="clear" w:color="000000" w:fill="auto"/>
            <w:vAlign w:val="center"/>
          </w:tcPr>
          <w:p/>
        </w:tc>
        <w:tc>
          <w:tcPr>
            <w:tcW w:w="1520"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1205"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1619"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1318"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2126"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r>
      <w:tr>
        <w:tblPrEx>
          <w:tblCellMar>
            <w:top w:w="0" w:type="dxa"/>
            <w:left w:w="108" w:type="dxa"/>
            <w:bottom w:w="0" w:type="dxa"/>
            <w:right w:w="108" w:type="dxa"/>
          </w:tblCellMar>
        </w:tblPrEx>
        <w:trPr>
          <w:trHeight w:val="363" w:hRule="atLeast"/>
        </w:trPr>
        <w:tc>
          <w:tcPr>
            <w:tcW w:w="874" w:type="dxa"/>
            <w:vMerge w:val="continue"/>
            <w:tcBorders>
              <w:top w:val="nil"/>
              <w:left w:val="single" w:color="auto" w:sz="4" w:space="0"/>
              <w:bottom w:val="single" w:color="auto" w:sz="4" w:space="0"/>
              <w:right w:val="single" w:color="auto" w:sz="4" w:space="0"/>
            </w:tcBorders>
            <w:shd w:val="clear" w:color="000000" w:fill="auto"/>
            <w:vAlign w:val="center"/>
          </w:tcPr>
          <w:p/>
        </w:tc>
        <w:tc>
          <w:tcPr>
            <w:tcW w:w="1520"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1205"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1619"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1318"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2126"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r>
      <w:tr>
        <w:tblPrEx>
          <w:tblCellMar>
            <w:top w:w="0" w:type="dxa"/>
            <w:left w:w="108" w:type="dxa"/>
            <w:bottom w:w="0" w:type="dxa"/>
            <w:right w:w="108" w:type="dxa"/>
          </w:tblCellMar>
        </w:tblPrEx>
        <w:trPr>
          <w:trHeight w:val="453" w:hRule="atLeast"/>
        </w:trPr>
        <w:tc>
          <w:tcPr>
            <w:tcW w:w="874" w:type="dxa"/>
            <w:vMerge w:val="continue"/>
            <w:tcBorders>
              <w:top w:val="nil"/>
              <w:left w:val="single" w:color="auto" w:sz="4" w:space="0"/>
              <w:bottom w:val="single" w:color="auto" w:sz="4" w:space="0"/>
              <w:right w:val="single" w:color="auto" w:sz="4" w:space="0"/>
            </w:tcBorders>
            <w:shd w:val="clear" w:color="000000" w:fill="auto"/>
            <w:vAlign w:val="center"/>
          </w:tcPr>
          <w:p/>
        </w:tc>
        <w:tc>
          <w:tcPr>
            <w:tcW w:w="1520"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1205"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1619"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1318"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2126"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r>
      <w:tr>
        <w:tblPrEx>
          <w:tblCellMar>
            <w:top w:w="0" w:type="dxa"/>
            <w:left w:w="108" w:type="dxa"/>
            <w:bottom w:w="0" w:type="dxa"/>
            <w:right w:w="108" w:type="dxa"/>
          </w:tblCellMar>
        </w:tblPrEx>
        <w:trPr>
          <w:trHeight w:val="405" w:hRule="atLeast"/>
        </w:trPr>
        <w:tc>
          <w:tcPr>
            <w:tcW w:w="874" w:type="dxa"/>
            <w:vMerge w:val="continue"/>
            <w:tcBorders>
              <w:top w:val="nil"/>
              <w:left w:val="single" w:color="auto" w:sz="4" w:space="0"/>
              <w:bottom w:val="single" w:color="auto" w:sz="4" w:space="0"/>
              <w:right w:val="single" w:color="auto" w:sz="4" w:space="0"/>
            </w:tcBorders>
            <w:shd w:val="clear" w:color="000000" w:fill="auto"/>
            <w:vAlign w:val="center"/>
          </w:tcPr>
          <w:p/>
        </w:tc>
        <w:tc>
          <w:tcPr>
            <w:tcW w:w="1520"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1205"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1619"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1318"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2126"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r>
      <w:tr>
        <w:tblPrEx>
          <w:tblCellMar>
            <w:top w:w="0" w:type="dxa"/>
            <w:left w:w="108" w:type="dxa"/>
            <w:bottom w:w="0" w:type="dxa"/>
            <w:right w:w="108" w:type="dxa"/>
          </w:tblCellMar>
        </w:tblPrEx>
        <w:trPr>
          <w:trHeight w:val="410" w:hRule="atLeast"/>
        </w:trPr>
        <w:tc>
          <w:tcPr>
            <w:tcW w:w="874" w:type="dxa"/>
            <w:vMerge w:val="continue"/>
            <w:tcBorders>
              <w:top w:val="nil"/>
              <w:left w:val="single" w:color="auto" w:sz="4" w:space="0"/>
              <w:bottom w:val="single" w:color="auto" w:sz="4" w:space="0"/>
              <w:right w:val="single" w:color="auto" w:sz="4" w:space="0"/>
            </w:tcBorders>
            <w:shd w:val="clear" w:color="000000" w:fill="auto"/>
            <w:vAlign w:val="center"/>
          </w:tcPr>
          <w:p/>
        </w:tc>
        <w:tc>
          <w:tcPr>
            <w:tcW w:w="1520"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1205"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1619"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1318"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2126"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r>
      <w:tr>
        <w:tblPrEx>
          <w:tblCellMar>
            <w:top w:w="0" w:type="dxa"/>
            <w:left w:w="108" w:type="dxa"/>
            <w:bottom w:w="0" w:type="dxa"/>
            <w:right w:w="108" w:type="dxa"/>
          </w:tblCellMar>
        </w:tblPrEx>
        <w:trPr>
          <w:trHeight w:val="1369" w:hRule="atLeast"/>
        </w:trPr>
        <w:tc>
          <w:tcPr>
            <w:tcW w:w="874" w:type="dxa"/>
            <w:tcBorders>
              <w:top w:val="nil"/>
              <w:left w:val="single" w:color="auto" w:sz="4" w:space="0"/>
              <w:bottom w:val="single" w:color="auto" w:sz="4" w:space="0"/>
              <w:right w:val="single" w:color="auto" w:sz="4" w:space="0"/>
            </w:tcBorders>
            <w:shd w:val="clear" w:color="000000" w:fill="auto"/>
            <w:vAlign w:val="center"/>
          </w:tcPr>
          <w:p>
            <w:pPr>
              <w:wordWrap w:val="0"/>
              <w:jc w:val="center"/>
              <w:rPr>
                <w:rFonts w:ascii="宋体" w:hAnsi="宋体" w:eastAsia="宋体"/>
                <w:sz w:val="22"/>
                <w:szCs w:val="22"/>
              </w:rPr>
            </w:pPr>
            <w:r>
              <w:rPr>
                <w:rFonts w:ascii="宋体" w:eastAsia="Tahoma"/>
                <w:sz w:val="22"/>
                <w:szCs w:val="22"/>
              </w:rPr>
              <w:t>承诺人 签字</w:t>
            </w:r>
          </w:p>
        </w:tc>
        <w:tc>
          <w:tcPr>
            <w:tcW w:w="7788" w:type="dxa"/>
            <w:gridSpan w:val="5"/>
            <w:tcBorders>
              <w:top w:val="single" w:color="auto" w:sz="4" w:space="0"/>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本人自愿承诺：自觉接受各方监督，保证遵守学校以及卫生健康部门新冠肺炎疫情防控有关规定，以上情况如有瞒报、谎报，造成新冠肺炎疫情在学校传播的，一经查实，由本人承担相应的法律和经济责任。                 签名：                                                 2022年    月   日</w:t>
            </w:r>
          </w:p>
        </w:tc>
      </w:tr>
      <w:tr>
        <w:tblPrEx>
          <w:tblCellMar>
            <w:top w:w="0" w:type="dxa"/>
            <w:left w:w="108" w:type="dxa"/>
            <w:bottom w:w="0" w:type="dxa"/>
            <w:right w:w="108" w:type="dxa"/>
          </w:tblCellMar>
        </w:tblPrEx>
        <w:trPr>
          <w:trHeight w:val="480" w:hRule="atLeast"/>
        </w:trPr>
        <w:tc>
          <w:tcPr>
            <w:tcW w:w="8662" w:type="dxa"/>
            <w:gridSpan w:val="6"/>
            <w:tcBorders>
              <w:top w:val="single" w:color="auto" w:sz="4" w:space="0"/>
              <w:left w:val="nil"/>
              <w:bottom w:val="nil"/>
              <w:right w:val="nil"/>
            </w:tcBorders>
            <w:shd w:val="clear" w:color="000000" w:fill="auto"/>
            <w:vAlign w:val="center"/>
          </w:tcPr>
          <w:p>
            <w:pPr>
              <w:wordWrap w:val="0"/>
              <w:rPr>
                <w:rFonts w:ascii="宋体" w:hAnsi="宋体" w:eastAsia="宋体"/>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wMjdhZWQyMjJhNDMwMzIyODVkNjI5MjhhZDEyYzgifQ=="/>
  </w:docVars>
  <w:rsids>
    <w:rsidRoot w:val="69333C89"/>
    <w:rsid w:val="69333C89"/>
    <w:rsid w:val="75CD0E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rPr>
      <w:rFonts w:ascii="Tahoma" w:hAnsi="Tahoma" w:eastAsia="Times New Roman" w:cs="Times New Roman"/>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1179</Words>
  <Characters>1222</Characters>
  <Lines>0</Lines>
  <Paragraphs>0</Paragraphs>
  <TotalTime>0</TotalTime>
  <ScaleCrop>false</ScaleCrop>
  <LinksUpToDate>false</LinksUpToDate>
  <CharactersWithSpaces>1385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2022-10-31T03:33:00Z</dcterms:created>
  <dc:creator>Administrator</dc:creator>
  <cp:lastModifiedBy>admin</cp:lastModifiedBy>
  <dcterms:modified xsi:type="dcterms:W3CDTF">2022-11-02T01:03:53Z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DC723E83A8B944E19CA4FF0E9114C28F</vt:lpwstr>
  </property>
</Properties>
</file>